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87D6" w14:textId="77777777" w:rsidR="005D219E" w:rsidRDefault="005D219E" w:rsidP="005D219E">
      <w:pPr>
        <w:pStyle w:val="a3"/>
        <w:spacing w:line="360" w:lineRule="exact"/>
        <w:jc w:val="center"/>
        <w:rPr>
          <w:rFonts w:ascii="ＭＳ ゴシック" w:hAnsi="ＭＳ ゴシック"/>
          <w:b/>
        </w:rPr>
      </w:pPr>
      <w:r>
        <w:rPr>
          <w:rFonts w:ascii="ＭＳ ゴシック" w:hAnsi="ＭＳ ゴシック" w:hint="eastAsia"/>
          <w:b/>
        </w:rPr>
        <w:t>発電利用</w:t>
      </w:r>
      <w:r w:rsidRPr="004A75A9">
        <w:rPr>
          <w:rFonts w:ascii="ＭＳ ゴシック" w:hAnsi="ＭＳ ゴシック" w:hint="eastAsia"/>
          <w:b/>
        </w:rPr>
        <w:t>に</w:t>
      </w:r>
      <w:r>
        <w:rPr>
          <w:rFonts w:ascii="ＭＳ ゴシック" w:hAnsi="ＭＳ ゴシック" w:hint="eastAsia"/>
          <w:b/>
        </w:rPr>
        <w:t>供する木質バイオマスの証明に</w:t>
      </w:r>
      <w:r w:rsidRPr="004A75A9">
        <w:rPr>
          <w:rFonts w:ascii="ＭＳ ゴシック" w:hAnsi="ＭＳ ゴシック" w:hint="eastAsia"/>
          <w:b/>
        </w:rPr>
        <w:t>関する</w:t>
      </w:r>
    </w:p>
    <w:p w14:paraId="58B51F44" w14:textId="77777777" w:rsidR="005D219E" w:rsidRPr="004A75A9" w:rsidRDefault="00181AF1" w:rsidP="00181AF1">
      <w:pPr>
        <w:pStyle w:val="a3"/>
        <w:spacing w:line="360" w:lineRule="exact"/>
        <w:ind w:firstLineChars="450" w:firstLine="1310"/>
        <w:rPr>
          <w:b/>
          <w:spacing w:val="0"/>
        </w:rPr>
      </w:pPr>
      <w:r>
        <w:rPr>
          <w:rFonts w:ascii="ＭＳ ゴシック" w:hAnsi="ＭＳ ゴシック" w:hint="eastAsia"/>
          <w:b/>
        </w:rPr>
        <w:t>一般社団法人</w:t>
      </w:r>
      <w:r w:rsidR="005D219E" w:rsidRPr="004A75A9">
        <w:rPr>
          <w:rFonts w:ascii="ＭＳ ゴシック" w:hAnsi="ＭＳ ゴシック" w:hint="eastAsia"/>
          <w:b/>
        </w:rPr>
        <w:t>熊本県木材協会連合会</w:t>
      </w:r>
      <w:r w:rsidR="005D219E">
        <w:rPr>
          <w:rFonts w:ascii="ＭＳ ゴシック" w:hAnsi="ＭＳ ゴシック" w:hint="eastAsia"/>
          <w:b/>
        </w:rPr>
        <w:t>の自主</w:t>
      </w:r>
      <w:r w:rsidR="005D219E" w:rsidRPr="004A75A9">
        <w:rPr>
          <w:rFonts w:ascii="ＭＳ ゴシック" w:hAnsi="ＭＳ ゴシック" w:hint="eastAsia"/>
          <w:b/>
        </w:rPr>
        <w:t>行動規範</w:t>
      </w:r>
    </w:p>
    <w:p w14:paraId="377D5DBA" w14:textId="77777777" w:rsidR="005D219E" w:rsidRPr="004A75A9" w:rsidRDefault="005D219E" w:rsidP="00F17C11">
      <w:pPr>
        <w:pStyle w:val="a3"/>
        <w:spacing w:line="360" w:lineRule="exact"/>
        <w:ind w:right="-1" w:firstLineChars="1400" w:firstLine="3935"/>
        <w:rPr>
          <w:b/>
          <w:spacing w:val="0"/>
        </w:rPr>
      </w:pPr>
      <w:r>
        <w:rPr>
          <w:rFonts w:hint="eastAsia"/>
          <w:b/>
          <w:spacing w:val="0"/>
        </w:rPr>
        <w:t>一般社団法人</w:t>
      </w:r>
      <w:r w:rsidRPr="004A75A9">
        <w:rPr>
          <w:rFonts w:hint="eastAsia"/>
          <w:b/>
          <w:spacing w:val="0"/>
        </w:rPr>
        <w:t>熊本県木材協会連合会</w:t>
      </w:r>
    </w:p>
    <w:p w14:paraId="5F81833B" w14:textId="77777777" w:rsidR="005D219E" w:rsidRPr="004A75A9" w:rsidRDefault="005D219E" w:rsidP="005D219E">
      <w:pPr>
        <w:pStyle w:val="a3"/>
        <w:spacing w:line="360" w:lineRule="exact"/>
        <w:ind w:right="290"/>
        <w:jc w:val="right"/>
        <w:rPr>
          <w:b/>
          <w:spacing w:val="0"/>
        </w:rPr>
      </w:pPr>
      <w:r w:rsidRPr="004A75A9">
        <w:rPr>
          <w:rFonts w:ascii="ＭＳ ゴシック" w:hAnsi="ＭＳ ゴシック" w:hint="eastAsia"/>
          <w:b/>
        </w:rPr>
        <w:t>制定　平成</w:t>
      </w:r>
      <w:r>
        <w:rPr>
          <w:rFonts w:ascii="ＭＳ ゴシック" w:hAnsi="ＭＳ ゴシック" w:hint="eastAsia"/>
          <w:b/>
        </w:rPr>
        <w:t>２４年１１</w:t>
      </w:r>
      <w:r w:rsidRPr="004A75A9">
        <w:rPr>
          <w:rFonts w:ascii="ＭＳ ゴシック" w:hAnsi="ＭＳ ゴシック" w:hint="eastAsia"/>
          <w:b/>
        </w:rPr>
        <w:t>月</w:t>
      </w:r>
      <w:r>
        <w:rPr>
          <w:rFonts w:ascii="ＭＳ ゴシック" w:hAnsi="ＭＳ ゴシック" w:hint="eastAsia"/>
          <w:b/>
        </w:rPr>
        <w:t>１２</w:t>
      </w:r>
      <w:r w:rsidRPr="004A75A9">
        <w:rPr>
          <w:rFonts w:ascii="ＭＳ ゴシック" w:hAnsi="ＭＳ ゴシック" w:hint="eastAsia"/>
          <w:b/>
        </w:rPr>
        <w:t>日</w:t>
      </w:r>
    </w:p>
    <w:p w14:paraId="06946666" w14:textId="77777777" w:rsidR="003F6163" w:rsidRDefault="003F6163" w:rsidP="003F6163">
      <w:pPr>
        <w:pStyle w:val="a3"/>
        <w:spacing w:line="360" w:lineRule="exact"/>
        <w:ind w:right="290"/>
        <w:jc w:val="right"/>
        <w:rPr>
          <w:b/>
          <w:color w:val="000000"/>
          <w:spacing w:val="0"/>
        </w:rPr>
      </w:pPr>
      <w:r>
        <w:rPr>
          <w:rFonts w:hint="eastAsia"/>
          <w:b/>
          <w:spacing w:val="0"/>
        </w:rPr>
        <w:t xml:space="preserve">　　　　　　　　　　　　　　　　</w:t>
      </w:r>
      <w:r w:rsidR="002A2464">
        <w:rPr>
          <w:rFonts w:hint="eastAsia"/>
          <w:b/>
          <w:color w:val="000000"/>
          <w:spacing w:val="0"/>
        </w:rPr>
        <w:t>改</w:t>
      </w:r>
      <w:r>
        <w:rPr>
          <w:rFonts w:ascii="ＭＳ ゴシック" w:hAnsi="ＭＳ ゴシック" w:hint="eastAsia"/>
          <w:b/>
          <w:color w:val="000000"/>
        </w:rPr>
        <w:t xml:space="preserve">定　</w:t>
      </w:r>
      <w:r w:rsidR="002A2464">
        <w:rPr>
          <w:rFonts w:ascii="ＭＳ ゴシック" w:hAnsi="ＭＳ ゴシック" w:hint="eastAsia"/>
          <w:b/>
          <w:color w:val="000000"/>
        </w:rPr>
        <w:t>令和　７</w:t>
      </w:r>
      <w:r>
        <w:rPr>
          <w:rFonts w:ascii="ＭＳ ゴシック" w:hAnsi="ＭＳ ゴシック" w:hint="eastAsia"/>
          <w:b/>
          <w:color w:val="000000"/>
        </w:rPr>
        <w:t>年</w:t>
      </w:r>
      <w:r w:rsidR="00D220B3">
        <w:rPr>
          <w:rFonts w:ascii="ＭＳ ゴシック" w:hAnsi="ＭＳ ゴシック" w:hint="eastAsia"/>
          <w:b/>
          <w:color w:val="000000"/>
        </w:rPr>
        <w:t>１０</w:t>
      </w:r>
      <w:r>
        <w:rPr>
          <w:rFonts w:ascii="ＭＳ ゴシック" w:hAnsi="ＭＳ ゴシック" w:hint="eastAsia"/>
          <w:b/>
          <w:color w:val="000000"/>
        </w:rPr>
        <w:t>月</w:t>
      </w:r>
      <w:r w:rsidR="002A2464">
        <w:rPr>
          <w:rFonts w:ascii="ＭＳ ゴシック" w:hAnsi="ＭＳ ゴシック" w:hint="eastAsia"/>
          <w:b/>
          <w:color w:val="000000"/>
        </w:rPr>
        <w:t xml:space="preserve">　１</w:t>
      </w:r>
      <w:r>
        <w:rPr>
          <w:rFonts w:ascii="ＭＳ ゴシック" w:hAnsi="ＭＳ ゴシック" w:hint="eastAsia"/>
          <w:b/>
          <w:color w:val="000000"/>
        </w:rPr>
        <w:t>日</w:t>
      </w:r>
    </w:p>
    <w:p w14:paraId="0629031E" w14:textId="77777777" w:rsidR="005D219E" w:rsidRDefault="003F6163" w:rsidP="005D219E">
      <w:pPr>
        <w:pStyle w:val="a3"/>
        <w:spacing w:line="360" w:lineRule="exact"/>
        <w:rPr>
          <w:b/>
          <w:color w:val="000000"/>
          <w:spacing w:val="0"/>
        </w:rPr>
      </w:pPr>
      <w:r>
        <w:rPr>
          <w:rFonts w:hint="eastAsia"/>
          <w:b/>
          <w:color w:val="000000"/>
          <w:spacing w:val="0"/>
        </w:rPr>
        <w:t xml:space="preserve"> </w:t>
      </w:r>
    </w:p>
    <w:p w14:paraId="6E6941E1" w14:textId="77777777" w:rsidR="003F6163" w:rsidRDefault="005D219E" w:rsidP="003F6163">
      <w:pPr>
        <w:adjustRightInd w:val="0"/>
        <w:snapToGrid w:val="0"/>
        <w:rPr>
          <w:rFonts w:ascii="ＭＳ ゴシック" w:eastAsia="ＭＳ ゴシック" w:hAnsi="ＭＳ ゴシック"/>
          <w:b/>
          <w:color w:val="000000"/>
          <w:sz w:val="28"/>
          <w:szCs w:val="28"/>
        </w:rPr>
      </w:pPr>
      <w:r>
        <w:rPr>
          <w:rFonts w:ascii="ＭＳ ゴシック" w:eastAsia="ＭＳ ゴシック" w:hAnsi="ＭＳ ゴシック" w:hint="eastAsia"/>
          <w:bCs/>
          <w:color w:val="000000"/>
          <w:sz w:val="28"/>
          <w:szCs w:val="28"/>
        </w:rPr>
        <w:t xml:space="preserve">　</w:t>
      </w:r>
      <w:r>
        <w:rPr>
          <w:rFonts w:ascii="ＭＳ ゴシック" w:eastAsia="ＭＳ ゴシック" w:hAnsi="ＭＳ ゴシック" w:hint="eastAsia"/>
          <w:b/>
          <w:color w:val="000000"/>
          <w:sz w:val="28"/>
          <w:szCs w:val="28"/>
        </w:rPr>
        <w:t>国においては、</w:t>
      </w:r>
      <w:r w:rsidR="003F6163">
        <w:rPr>
          <w:rFonts w:ascii="ＭＳ ゴシック" w:eastAsia="ＭＳ ゴシック" w:hAnsi="ＭＳ ゴシック" w:hint="eastAsia"/>
          <w:b/>
          <w:color w:val="000000"/>
          <w:sz w:val="28"/>
          <w:szCs w:val="28"/>
        </w:rPr>
        <w:t>再生可能エネルギー電気の利用の促進に関する特別措置法（平成</w:t>
      </w:r>
      <w:r w:rsidR="003F6163">
        <w:rPr>
          <w:rFonts w:ascii="ＭＳ ゴシック" w:eastAsia="ＭＳ ゴシック" w:hAnsi="ＭＳ ゴシック"/>
          <w:b/>
          <w:color w:val="000000"/>
          <w:sz w:val="28"/>
          <w:szCs w:val="28"/>
        </w:rPr>
        <w:t>23</w:t>
      </w:r>
      <w:r w:rsidR="003F6163">
        <w:rPr>
          <w:rFonts w:ascii="ＭＳ ゴシック" w:eastAsia="ＭＳ ゴシック" w:hAnsi="ＭＳ ゴシック" w:hint="eastAsia"/>
          <w:b/>
          <w:color w:val="000000"/>
          <w:sz w:val="28"/>
          <w:szCs w:val="28"/>
        </w:rPr>
        <w:t>年法律第</w:t>
      </w:r>
      <w:r w:rsidR="003F6163">
        <w:rPr>
          <w:rFonts w:ascii="ＭＳ ゴシック" w:eastAsia="ＭＳ ゴシック" w:hAnsi="ＭＳ ゴシック"/>
          <w:b/>
          <w:color w:val="000000"/>
          <w:sz w:val="28"/>
          <w:szCs w:val="28"/>
        </w:rPr>
        <w:t>108</w:t>
      </w:r>
      <w:r w:rsidR="003F6163">
        <w:rPr>
          <w:rFonts w:ascii="ＭＳ ゴシック" w:eastAsia="ＭＳ ゴシック" w:hAnsi="ＭＳ ゴシック" w:hint="eastAsia"/>
          <w:b/>
          <w:color w:val="000000"/>
          <w:sz w:val="28"/>
          <w:szCs w:val="28"/>
        </w:rPr>
        <w:t>号。以下、「再エネ特措法」という。）に基づく平成</w:t>
      </w:r>
      <w:r w:rsidR="003F6163">
        <w:rPr>
          <w:rFonts w:ascii="ＭＳ ゴシック" w:eastAsia="ＭＳ ゴシック" w:hAnsi="ＭＳ ゴシック"/>
          <w:b/>
          <w:color w:val="000000"/>
          <w:sz w:val="28"/>
          <w:szCs w:val="28"/>
        </w:rPr>
        <w:t>29</w:t>
      </w:r>
      <w:r w:rsidR="003F6163">
        <w:rPr>
          <w:rFonts w:ascii="ＭＳ ゴシック" w:eastAsia="ＭＳ ゴシック" w:hAnsi="ＭＳ ゴシック" w:hint="eastAsia"/>
          <w:b/>
          <w:color w:val="000000"/>
          <w:sz w:val="28"/>
          <w:szCs w:val="28"/>
        </w:rPr>
        <w:t>年３月</w:t>
      </w:r>
      <w:r w:rsidR="003F6163">
        <w:rPr>
          <w:rFonts w:ascii="ＭＳ ゴシック" w:eastAsia="ＭＳ ゴシック" w:hAnsi="ＭＳ ゴシック"/>
          <w:b/>
          <w:color w:val="000000"/>
          <w:sz w:val="28"/>
          <w:szCs w:val="28"/>
        </w:rPr>
        <w:t>14</w:t>
      </w:r>
      <w:r w:rsidR="003F6163">
        <w:rPr>
          <w:rFonts w:ascii="ＭＳ ゴシック" w:eastAsia="ＭＳ ゴシック" w:hAnsi="ＭＳ ゴシック" w:hint="eastAsia"/>
          <w:b/>
          <w:color w:val="000000"/>
          <w:sz w:val="28"/>
          <w:szCs w:val="28"/>
        </w:rPr>
        <w:t>日経済産業省告示第</w:t>
      </w:r>
      <w:r w:rsidR="003F6163">
        <w:rPr>
          <w:rFonts w:ascii="ＭＳ ゴシック" w:eastAsia="ＭＳ ゴシック" w:hAnsi="ＭＳ ゴシック"/>
          <w:b/>
          <w:color w:val="000000"/>
          <w:sz w:val="28"/>
          <w:szCs w:val="28"/>
        </w:rPr>
        <w:t>35</w:t>
      </w:r>
      <w:r w:rsidR="003F6163">
        <w:rPr>
          <w:rFonts w:ascii="ＭＳ ゴシック" w:eastAsia="ＭＳ ゴシック" w:hAnsi="ＭＳ ゴシック" w:hint="eastAsia"/>
          <w:b/>
          <w:color w:val="000000"/>
          <w:sz w:val="28"/>
          <w:szCs w:val="28"/>
        </w:rPr>
        <w:t>号（以下「告示」という。）第６条において、再生可能エネルギー発電設備の区分ごとの調達価格等が定められ、木質バイオマスについても、「森林における立木竹の伐採又は間伐により発生する未利用の木質バイオマス（輸入されたものを除く。）」（以下「間伐材等由来の木質バイオマス」という。）を電気に変換する設備、「木質バイオマス」（以下「一般木質バイオマス」という。）を電気に変換する設備、「建設資材廃棄物」を電気に変換する設備について、それぞれの区分ごとに調達価格等が定められているところである。</w:t>
      </w:r>
    </w:p>
    <w:p w14:paraId="5711467A" w14:textId="77777777" w:rsidR="003F6163" w:rsidRDefault="003F6163" w:rsidP="003F6163">
      <w:pPr>
        <w:adjustRightInd w:val="0"/>
        <w:snapToGrid w:val="0"/>
        <w:rPr>
          <w:rFonts w:ascii="ＭＳ ゴシック" w:eastAsia="ＭＳ ゴシック" w:hAnsi="ＭＳ ゴシック" w:hint="eastAsia"/>
          <w:b/>
          <w:color w:val="000000"/>
          <w:sz w:val="28"/>
          <w:szCs w:val="28"/>
        </w:rPr>
      </w:pPr>
    </w:p>
    <w:p w14:paraId="4CC9AC55" w14:textId="77777777" w:rsidR="003F6163" w:rsidRDefault="003F6163" w:rsidP="003F6163">
      <w:pPr>
        <w:adjustRightInd w:val="0"/>
        <w:snapToGrid w:val="0"/>
        <w:spacing w:line="374" w:lineRule="exact"/>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 xml:space="preserve">　この区分の下では、間伐材等由来の木質バイオマス、一般木質バイオマスについて適切な識別・証明が行われなければ、調達価格等が適正に適用されない事態も懸念される。また、木質バイオマスについては、間伐材等で未利用のものが大量に発生している一方で、既に相当部分が製材、合板、木質ボード、製紙用等に供されていることから、このような既存利用に影響を及ぼさないよう適切に配慮していく必要がある。</w:t>
      </w:r>
    </w:p>
    <w:p w14:paraId="6FE515F0" w14:textId="77777777" w:rsidR="003F6163" w:rsidRDefault="003F6163" w:rsidP="003F6163">
      <w:pPr>
        <w:adjustRightInd w:val="0"/>
        <w:snapToGrid w:val="0"/>
        <w:spacing w:line="374" w:lineRule="exact"/>
        <w:rPr>
          <w:rFonts w:ascii="ＭＳ ゴシック" w:eastAsia="ＭＳ ゴシック" w:hAnsi="ＭＳ ゴシック" w:hint="eastAsia"/>
          <w:b/>
          <w:color w:val="000000"/>
          <w:sz w:val="28"/>
          <w:szCs w:val="28"/>
        </w:rPr>
      </w:pPr>
    </w:p>
    <w:p w14:paraId="428788F4" w14:textId="77777777" w:rsidR="003F6163" w:rsidRDefault="003F6163" w:rsidP="003F6163">
      <w:pPr>
        <w:adjustRightInd w:val="0"/>
        <w:snapToGrid w:val="0"/>
        <w:spacing w:line="374" w:lineRule="exact"/>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 xml:space="preserve">　このようなことを踏まえ、一般社団法人熊本県木材協会連合会（以下「県木連」という。）は、再エネ特措法に基づく</w:t>
      </w:r>
      <w:r>
        <w:rPr>
          <w:rFonts w:ascii="ＭＳ ゴシック" w:eastAsia="ＭＳ ゴシック" w:hAnsi="ＭＳ ゴシック"/>
          <w:b/>
          <w:color w:val="000000"/>
          <w:sz w:val="28"/>
          <w:szCs w:val="28"/>
        </w:rPr>
        <w:t>FIT</w:t>
      </w:r>
      <w:r>
        <w:rPr>
          <w:rFonts w:ascii="ＭＳ ゴシック" w:eastAsia="ＭＳ ゴシック" w:hAnsi="ＭＳ ゴシック" w:hint="eastAsia"/>
          <w:b/>
          <w:color w:val="000000"/>
          <w:sz w:val="28"/>
          <w:szCs w:val="28"/>
        </w:rPr>
        <w:t>・</w:t>
      </w:r>
      <w:r>
        <w:rPr>
          <w:rFonts w:ascii="ＭＳ ゴシック" w:eastAsia="ＭＳ ゴシック" w:hAnsi="ＭＳ ゴシック"/>
          <w:b/>
          <w:color w:val="000000"/>
          <w:sz w:val="28"/>
          <w:szCs w:val="28"/>
        </w:rPr>
        <w:t>FIP</w:t>
      </w:r>
      <w:r>
        <w:rPr>
          <w:rFonts w:ascii="ＭＳ ゴシック" w:eastAsia="ＭＳ ゴシック" w:hAnsi="ＭＳ ゴシック" w:hint="eastAsia"/>
          <w:b/>
          <w:color w:val="000000"/>
          <w:sz w:val="28"/>
          <w:szCs w:val="28"/>
        </w:rPr>
        <w:t>制度に対する消費者の信頼を確保するとともに、発電の燃料としての間伐材等由来の木質バイオマスや一般木質バイオマスが、円滑に、かつ、秩序をもって供給されることに資するよう、発電燃料となる間伐材等由来の木質バイオマス、一般木質バイオマス及びこれらを原料とするチップ等の供給者が、その証明に取り組むに当たっての自主行動規範を制定し、ここに公表する。</w:t>
      </w:r>
    </w:p>
    <w:p w14:paraId="649DE0B7" w14:textId="77777777" w:rsidR="003F6163" w:rsidRDefault="003F6163" w:rsidP="003F6163">
      <w:pPr>
        <w:adjustRightInd w:val="0"/>
        <w:snapToGrid w:val="0"/>
        <w:spacing w:line="374" w:lineRule="exact"/>
        <w:rPr>
          <w:rFonts w:ascii="ＭＳ ゴシック" w:eastAsia="ＭＳ ゴシック" w:hAnsi="ＭＳ ゴシック" w:hint="eastAsia"/>
          <w:b/>
          <w:color w:val="000000"/>
          <w:sz w:val="28"/>
          <w:szCs w:val="28"/>
        </w:rPr>
      </w:pPr>
    </w:p>
    <w:p w14:paraId="17C2B1C9" w14:textId="77777777" w:rsidR="003F6163" w:rsidRDefault="003F6163" w:rsidP="002A2464">
      <w:pPr>
        <w:adjustRightInd w:val="0"/>
        <w:snapToGrid w:val="0"/>
        <w:spacing w:line="374" w:lineRule="exact"/>
        <w:ind w:firstLineChars="100" w:firstLine="281"/>
        <w:rPr>
          <w:rFonts w:ascii="ＭＳ ゴシック" w:eastAsia="ＭＳ ゴシック" w:hAnsi="ＭＳ ゴシック" w:hint="eastAsia"/>
          <w:b/>
          <w:color w:val="000000"/>
          <w:sz w:val="28"/>
          <w:szCs w:val="28"/>
        </w:rPr>
      </w:pPr>
      <w:r>
        <w:rPr>
          <w:rFonts w:ascii="ＭＳ ゴシック" w:eastAsia="ＭＳ ゴシック" w:hAnsi="ＭＳ ゴシック" w:hint="eastAsia"/>
          <w:b/>
          <w:color w:val="000000"/>
          <w:sz w:val="28"/>
          <w:szCs w:val="28"/>
        </w:rPr>
        <w:t>また、令和４年度以降の</w:t>
      </w:r>
      <w:r>
        <w:rPr>
          <w:rFonts w:ascii="ＭＳ ゴシック" w:eastAsia="ＭＳ ゴシック" w:hAnsi="ＭＳ ゴシック"/>
          <w:b/>
          <w:color w:val="000000"/>
          <w:sz w:val="28"/>
          <w:szCs w:val="28"/>
        </w:rPr>
        <w:t>FIT</w:t>
      </w:r>
      <w:r>
        <w:rPr>
          <w:rFonts w:ascii="ＭＳ ゴシック" w:eastAsia="ＭＳ ゴシック" w:hAnsi="ＭＳ ゴシック" w:hint="eastAsia"/>
          <w:b/>
          <w:color w:val="000000"/>
          <w:sz w:val="28"/>
          <w:szCs w:val="28"/>
        </w:rPr>
        <w:t>・</w:t>
      </w:r>
      <w:r>
        <w:rPr>
          <w:rFonts w:ascii="ＭＳ ゴシック" w:eastAsia="ＭＳ ゴシック" w:hAnsi="ＭＳ ゴシック"/>
          <w:b/>
          <w:color w:val="000000"/>
          <w:sz w:val="28"/>
          <w:szCs w:val="28"/>
        </w:rPr>
        <w:t>FIP</w:t>
      </w:r>
      <w:r>
        <w:rPr>
          <w:rFonts w:ascii="ＭＳ ゴシック" w:eastAsia="ＭＳ ゴシック" w:hAnsi="ＭＳ ゴシック" w:hint="eastAsia"/>
          <w:b/>
          <w:color w:val="000000"/>
          <w:sz w:val="28"/>
          <w:szCs w:val="28"/>
        </w:rPr>
        <w:t>認定案件（</w:t>
      </w:r>
      <w:r>
        <w:rPr>
          <w:rFonts w:ascii="ＭＳ ゴシック" w:eastAsia="ＭＳ ゴシック" w:hAnsi="ＭＳ ゴシック"/>
          <w:b/>
          <w:color w:val="000000"/>
          <w:sz w:val="28"/>
          <w:szCs w:val="28"/>
        </w:rPr>
        <w:t>1,000kW</w:t>
      </w:r>
      <w:r>
        <w:rPr>
          <w:rFonts w:ascii="ＭＳ ゴシック" w:eastAsia="ＭＳ ゴシック" w:hAnsi="ＭＳ ゴシック" w:hint="eastAsia"/>
          <w:b/>
          <w:color w:val="000000"/>
          <w:sz w:val="28"/>
          <w:szCs w:val="28"/>
        </w:rPr>
        <w:t>以上）については、ライフサイクル</w:t>
      </w:r>
      <w:r>
        <w:rPr>
          <w:rFonts w:ascii="ＭＳ ゴシック" w:eastAsia="ＭＳ ゴシック" w:hAnsi="ＭＳ ゴシック"/>
          <w:b/>
          <w:color w:val="000000"/>
          <w:sz w:val="28"/>
          <w:szCs w:val="28"/>
        </w:rPr>
        <w:t>GHG</w:t>
      </w:r>
      <w:r>
        <w:rPr>
          <w:rFonts w:ascii="ＭＳ ゴシック" w:eastAsia="ＭＳ ゴシック" w:hAnsi="ＭＳ ゴシック" w:hint="eastAsia"/>
          <w:b/>
          <w:color w:val="000000"/>
          <w:sz w:val="28"/>
          <w:szCs w:val="28"/>
        </w:rPr>
        <w:t>の基準が適用されるところ、発電事業者による</w:t>
      </w:r>
      <w:r>
        <w:rPr>
          <w:rFonts w:ascii="ＭＳ ゴシック" w:eastAsia="ＭＳ ゴシック" w:hAnsi="ＭＳ ゴシック"/>
          <w:b/>
          <w:color w:val="000000"/>
          <w:sz w:val="28"/>
          <w:szCs w:val="28"/>
        </w:rPr>
        <w:t>GHG</w:t>
      </w:r>
      <w:r>
        <w:rPr>
          <w:rFonts w:ascii="ＭＳ ゴシック" w:eastAsia="ＭＳ ゴシック" w:hAnsi="ＭＳ ゴシック" w:hint="eastAsia"/>
          <w:b/>
          <w:color w:val="000000"/>
          <w:sz w:val="28"/>
          <w:szCs w:val="28"/>
        </w:rPr>
        <w:t>の算定に必要な情報が適切に収集・管理・伝達されるよう、国内で発生する木質バイオマスの供給者が取り組むべき事項についても併せて定めるものとする。</w:t>
      </w:r>
    </w:p>
    <w:p w14:paraId="232B35AD" w14:textId="77777777" w:rsidR="005D219E" w:rsidRDefault="005D219E" w:rsidP="005D219E">
      <w:pPr>
        <w:pStyle w:val="a3"/>
        <w:spacing w:line="360" w:lineRule="exact"/>
        <w:rPr>
          <w:b/>
          <w:color w:val="000000"/>
          <w:spacing w:val="0"/>
        </w:rPr>
      </w:pPr>
      <w:r>
        <w:rPr>
          <w:rFonts w:ascii="ＭＳ ゴシック" w:hAnsi="ＭＳ ゴシック" w:hint="eastAsia"/>
          <w:b/>
          <w:color w:val="000000"/>
        </w:rPr>
        <w:lastRenderedPageBreak/>
        <w:t>（木質バイオマスの有効利用への支援）</w:t>
      </w:r>
    </w:p>
    <w:p w14:paraId="4BB6F687" w14:textId="77777777" w:rsidR="005D219E" w:rsidRDefault="005D219E" w:rsidP="005D219E">
      <w:pPr>
        <w:pStyle w:val="a3"/>
        <w:spacing w:line="360" w:lineRule="exact"/>
        <w:ind w:left="291" w:hangingChars="100" w:hanging="291"/>
        <w:rPr>
          <w:b/>
          <w:color w:val="000000"/>
          <w:spacing w:val="0"/>
        </w:rPr>
      </w:pPr>
      <w:r>
        <w:rPr>
          <w:rFonts w:ascii="ＭＳ ゴシック" w:hAnsi="ＭＳ ゴシック" w:hint="eastAsia"/>
          <w:b/>
          <w:color w:val="000000"/>
        </w:rPr>
        <w:t>１　県木連は、間伐材等の未利用木質資源の発電利用を全面的に支援するとともに、製材端材やチップ等の新たな利用分野としても、発電利用の促進に努めるものとする。</w:t>
      </w:r>
    </w:p>
    <w:p w14:paraId="451C7A3A" w14:textId="77777777" w:rsidR="005D219E" w:rsidRDefault="005D219E" w:rsidP="005D219E">
      <w:pPr>
        <w:pStyle w:val="a3"/>
        <w:spacing w:line="360" w:lineRule="exact"/>
        <w:rPr>
          <w:b/>
          <w:color w:val="000000"/>
          <w:spacing w:val="0"/>
        </w:rPr>
      </w:pPr>
    </w:p>
    <w:p w14:paraId="7089CD19" w14:textId="77777777" w:rsidR="005D219E" w:rsidRDefault="005D219E" w:rsidP="005D219E">
      <w:pPr>
        <w:pStyle w:val="a3"/>
        <w:spacing w:line="360" w:lineRule="exact"/>
        <w:rPr>
          <w:b/>
          <w:color w:val="000000"/>
          <w:spacing w:val="0"/>
        </w:rPr>
      </w:pPr>
      <w:r>
        <w:rPr>
          <w:rFonts w:ascii="ＭＳ ゴシック" w:hAnsi="ＭＳ ゴシック" w:hint="eastAsia"/>
          <w:b/>
          <w:color w:val="000000"/>
        </w:rPr>
        <w:t>（国、県の取組みとの連携）</w:t>
      </w:r>
    </w:p>
    <w:p w14:paraId="718E239A" w14:textId="77777777" w:rsidR="005D219E" w:rsidRDefault="005D219E" w:rsidP="005D219E">
      <w:pPr>
        <w:pStyle w:val="a3"/>
        <w:spacing w:line="360" w:lineRule="exact"/>
        <w:ind w:left="291" w:hangingChars="100" w:hanging="291"/>
        <w:rPr>
          <w:b/>
          <w:color w:val="000000"/>
          <w:spacing w:val="0"/>
        </w:rPr>
      </w:pPr>
      <w:r>
        <w:rPr>
          <w:rFonts w:ascii="ＭＳ ゴシック" w:hAnsi="ＭＳ ゴシック" w:hint="eastAsia"/>
          <w:b/>
          <w:color w:val="000000"/>
        </w:rPr>
        <w:t>２　県木連は、国、県が取り組む未利用木質資源の有効利用対策について、これらの取り組みを全面的に支持するとともに、これに積極的に協力する。</w:t>
      </w:r>
    </w:p>
    <w:p w14:paraId="74F8BDF5" w14:textId="77777777" w:rsidR="005D219E" w:rsidRDefault="005D219E" w:rsidP="003F6163">
      <w:pPr>
        <w:pStyle w:val="a3"/>
        <w:spacing w:line="360" w:lineRule="exact"/>
        <w:rPr>
          <w:rFonts w:ascii="ＭＳ ゴシック" w:hAnsi="ＭＳ ゴシック" w:hint="eastAsia"/>
          <w:b/>
          <w:color w:val="000000"/>
        </w:rPr>
      </w:pPr>
    </w:p>
    <w:p w14:paraId="059C5951" w14:textId="77777777" w:rsidR="003F6163" w:rsidRDefault="003F6163" w:rsidP="003F6163">
      <w:pPr>
        <w:adjustRightInd w:val="0"/>
        <w:snapToGrid w:val="0"/>
        <w:ind w:left="281" w:hangingChars="100" w:hanging="281"/>
        <w:rPr>
          <w:rFonts w:ascii="ＭＳ ゴシック" w:eastAsia="ＭＳ ゴシック" w:hAnsi="ＭＳ ゴシック"/>
          <w:b/>
          <w:bCs/>
          <w:color w:val="000000"/>
          <w:sz w:val="28"/>
          <w:szCs w:val="28"/>
        </w:rPr>
      </w:pPr>
      <w:r>
        <w:rPr>
          <w:rFonts w:ascii="ＭＳ ゴシック" w:eastAsia="ＭＳ ゴシック" w:hAnsi="ＭＳ ゴシック" w:hint="eastAsia"/>
          <w:b/>
          <w:bCs/>
          <w:color w:val="000000"/>
          <w:sz w:val="28"/>
          <w:szCs w:val="28"/>
        </w:rPr>
        <w:t>（間伐材等由来の木質バイオマス及び一般木質バイオマスの証明のための事業者の認定）</w:t>
      </w:r>
    </w:p>
    <w:p w14:paraId="5A1B2EE6" w14:textId="77777777" w:rsidR="003F6163" w:rsidRDefault="003F6163" w:rsidP="003F6163">
      <w:pPr>
        <w:adjustRightInd w:val="0"/>
        <w:snapToGrid w:val="0"/>
        <w:ind w:left="281" w:hangingChars="100" w:hanging="281"/>
        <w:rPr>
          <w:rFonts w:ascii="ＭＳ ゴシック" w:eastAsia="ＭＳ ゴシック" w:hAnsi="ＭＳ ゴシック"/>
          <w:b/>
          <w:bCs/>
          <w:color w:val="000000"/>
          <w:sz w:val="28"/>
          <w:szCs w:val="28"/>
        </w:rPr>
      </w:pPr>
      <w:r>
        <w:rPr>
          <w:rFonts w:ascii="ＭＳ ゴシック" w:eastAsia="ＭＳ ゴシック" w:hAnsi="ＭＳ ゴシック" w:hint="eastAsia"/>
          <w:b/>
          <w:bCs/>
          <w:color w:val="000000"/>
          <w:sz w:val="28"/>
          <w:szCs w:val="28"/>
        </w:rPr>
        <w:t>３　林野庁が策定、公表した「発電利用に供する木質バイオマスの証明のためのガイドライン」に示した業界団体の評価・認定を得て行う証明方法（団体認定方式）に関連して、「発電利用に供する木質バイオマスの証明に係る事業者認定実施要領」を別途定め、県木連の会員事業者の認定を行い、間伐材等由来の木質バイオマス及び一般木質バイオマスであることが証明された、発電利用に供される木質バイオマスの供給に努めるものとする。</w:t>
      </w:r>
    </w:p>
    <w:p w14:paraId="5FE3096A" w14:textId="77777777" w:rsidR="003F6163" w:rsidRDefault="003F6163" w:rsidP="003F6163">
      <w:pPr>
        <w:adjustRightInd w:val="0"/>
        <w:snapToGrid w:val="0"/>
        <w:ind w:left="281" w:hangingChars="100" w:hanging="281"/>
        <w:rPr>
          <w:rFonts w:ascii="ＭＳ ゴシック" w:eastAsia="ＭＳ ゴシック" w:hAnsi="ＭＳ ゴシック"/>
          <w:b/>
          <w:bCs/>
          <w:color w:val="000000"/>
          <w:sz w:val="28"/>
          <w:szCs w:val="28"/>
        </w:rPr>
      </w:pPr>
      <w:r>
        <w:rPr>
          <w:rFonts w:ascii="ＭＳ ゴシック" w:eastAsia="ＭＳ ゴシック" w:hAnsi="ＭＳ ゴシック" w:hint="eastAsia"/>
          <w:b/>
          <w:bCs/>
          <w:color w:val="000000"/>
          <w:sz w:val="28"/>
          <w:szCs w:val="28"/>
        </w:rPr>
        <w:t xml:space="preserve">　　また、国内木質バイオマスを使用した発電案件のライフサイクル</w:t>
      </w:r>
      <w:r>
        <w:rPr>
          <w:rFonts w:ascii="ＭＳ ゴシック" w:eastAsia="ＭＳ ゴシック" w:hAnsi="ＭＳ ゴシック"/>
          <w:b/>
          <w:bCs/>
          <w:color w:val="000000"/>
          <w:sz w:val="28"/>
          <w:szCs w:val="28"/>
        </w:rPr>
        <w:t>GHG</w:t>
      </w:r>
      <w:r>
        <w:rPr>
          <w:rFonts w:ascii="ＭＳ ゴシック" w:eastAsia="ＭＳ ゴシック" w:hAnsi="ＭＳ ゴシック" w:hint="eastAsia"/>
          <w:b/>
          <w:bCs/>
          <w:color w:val="000000"/>
          <w:sz w:val="28"/>
          <w:szCs w:val="28"/>
        </w:rPr>
        <w:t>の算定に必要な情報の収集・管理・伝達の取組についても、会員事業者の申請に基づき認定を行うものとする。</w:t>
      </w:r>
    </w:p>
    <w:p w14:paraId="23ED1BE0" w14:textId="77777777" w:rsidR="005D219E" w:rsidRDefault="005D219E" w:rsidP="005D219E">
      <w:pPr>
        <w:pStyle w:val="a3"/>
        <w:spacing w:line="360" w:lineRule="exact"/>
        <w:rPr>
          <w:b/>
          <w:color w:val="000000"/>
          <w:spacing w:val="0"/>
        </w:rPr>
      </w:pPr>
    </w:p>
    <w:p w14:paraId="5A531739" w14:textId="77777777" w:rsidR="005D219E" w:rsidRDefault="005D219E" w:rsidP="005D219E">
      <w:pPr>
        <w:pStyle w:val="a3"/>
        <w:spacing w:line="360" w:lineRule="exact"/>
        <w:rPr>
          <w:b/>
          <w:color w:val="000000"/>
          <w:spacing w:val="0"/>
        </w:rPr>
      </w:pPr>
      <w:r>
        <w:rPr>
          <w:rFonts w:hint="eastAsia"/>
          <w:b/>
          <w:color w:val="000000"/>
          <w:spacing w:val="0"/>
        </w:rPr>
        <w:t>（既存利用に配慮した木質バイオマスの発電利用の促進）</w:t>
      </w:r>
    </w:p>
    <w:p w14:paraId="40AEBE0C" w14:textId="77777777" w:rsidR="005D219E" w:rsidRDefault="005D219E" w:rsidP="003F6163">
      <w:pPr>
        <w:pStyle w:val="a3"/>
        <w:spacing w:line="360" w:lineRule="exact"/>
        <w:ind w:left="281" w:hangingChars="100" w:hanging="281"/>
        <w:rPr>
          <w:rFonts w:hint="eastAsia"/>
          <w:b/>
          <w:color w:val="000000"/>
          <w:spacing w:val="0"/>
        </w:rPr>
      </w:pPr>
      <w:r>
        <w:rPr>
          <w:rFonts w:hint="eastAsia"/>
          <w:b/>
          <w:color w:val="000000"/>
          <w:spacing w:val="0"/>
        </w:rPr>
        <w:t>４　県木連は、発電利用に供される木質バイオマス利用にあたっては、既存利用に影響を及ぼさないよう適切に配慮しながらこれを推進することに努めるものとする。</w:t>
      </w:r>
    </w:p>
    <w:p w14:paraId="0ABDB21F" w14:textId="77777777" w:rsidR="005D219E" w:rsidRDefault="005D219E" w:rsidP="005D219E">
      <w:pPr>
        <w:pStyle w:val="a3"/>
        <w:spacing w:line="360" w:lineRule="exact"/>
        <w:rPr>
          <w:b/>
          <w:color w:val="000000"/>
          <w:spacing w:val="0"/>
        </w:rPr>
      </w:pPr>
    </w:p>
    <w:p w14:paraId="2A6707FC" w14:textId="77777777" w:rsidR="005D219E" w:rsidRDefault="005D219E" w:rsidP="005D219E">
      <w:pPr>
        <w:pStyle w:val="a3"/>
        <w:spacing w:line="360" w:lineRule="exact"/>
        <w:ind w:left="291" w:hangingChars="100" w:hanging="291"/>
        <w:rPr>
          <w:b/>
          <w:color w:val="000000"/>
          <w:spacing w:val="0"/>
        </w:rPr>
      </w:pPr>
      <w:r>
        <w:rPr>
          <w:rFonts w:ascii="ＭＳ ゴシック" w:hAnsi="ＭＳ ゴシック" w:hint="eastAsia"/>
          <w:b/>
          <w:color w:val="000000"/>
        </w:rPr>
        <w:t>（情報の公開）</w:t>
      </w:r>
    </w:p>
    <w:p w14:paraId="4DAA1547" w14:textId="77777777" w:rsidR="005D219E" w:rsidRDefault="003F6163" w:rsidP="005D219E">
      <w:pPr>
        <w:pStyle w:val="a3"/>
        <w:spacing w:line="360" w:lineRule="exact"/>
        <w:ind w:left="291" w:hangingChars="100" w:hanging="291"/>
        <w:rPr>
          <w:rFonts w:ascii="ＭＳ ゴシック" w:hAnsi="ＭＳ ゴシック"/>
          <w:b/>
          <w:color w:val="000000"/>
        </w:rPr>
      </w:pPr>
      <w:r>
        <w:rPr>
          <w:rFonts w:ascii="ＭＳ ゴシック" w:hAnsi="ＭＳ ゴシック" w:hint="eastAsia"/>
          <w:b/>
          <w:color w:val="000000"/>
        </w:rPr>
        <w:t>５</w:t>
      </w:r>
      <w:r w:rsidR="005D219E">
        <w:rPr>
          <w:rFonts w:ascii="ＭＳ ゴシック" w:hAnsi="ＭＳ ゴシック" w:hint="eastAsia"/>
          <w:b/>
          <w:color w:val="000000"/>
        </w:rPr>
        <w:t xml:space="preserve">　県木連は、本行動規範に基づく取組状況の概要を公表する。</w:t>
      </w:r>
    </w:p>
    <w:p w14:paraId="10FF309E" w14:textId="77777777" w:rsidR="005D219E" w:rsidRDefault="005D219E" w:rsidP="005D219E">
      <w:pPr>
        <w:pStyle w:val="a3"/>
        <w:spacing w:line="360" w:lineRule="exact"/>
        <w:ind w:left="281" w:hangingChars="100" w:hanging="281"/>
        <w:rPr>
          <w:b/>
          <w:color w:val="000000"/>
          <w:spacing w:val="0"/>
        </w:rPr>
      </w:pPr>
    </w:p>
    <w:p w14:paraId="28F8DF7D" w14:textId="77777777" w:rsidR="005D219E" w:rsidRDefault="005D219E" w:rsidP="005D219E">
      <w:pPr>
        <w:pStyle w:val="a3"/>
        <w:spacing w:line="360" w:lineRule="exact"/>
        <w:ind w:left="281" w:hangingChars="100" w:hanging="281"/>
        <w:rPr>
          <w:b/>
          <w:color w:val="000000"/>
          <w:spacing w:val="0"/>
        </w:rPr>
      </w:pPr>
      <w:r>
        <w:rPr>
          <w:rFonts w:hint="eastAsia"/>
          <w:b/>
          <w:color w:val="000000"/>
          <w:spacing w:val="0"/>
        </w:rPr>
        <w:t>附則：本行動規範は、平成２４年１１月１２日に公表する。</w:t>
      </w:r>
    </w:p>
    <w:p w14:paraId="6EA279D3" w14:textId="77777777" w:rsidR="003F6163" w:rsidRDefault="003F6163" w:rsidP="005D219E">
      <w:pPr>
        <w:pStyle w:val="a3"/>
        <w:spacing w:line="360" w:lineRule="exact"/>
        <w:ind w:left="281" w:hangingChars="100" w:hanging="281"/>
        <w:rPr>
          <w:rFonts w:hint="eastAsia"/>
          <w:b/>
          <w:color w:val="000000"/>
          <w:spacing w:val="0"/>
        </w:rPr>
      </w:pPr>
      <w:r>
        <w:rPr>
          <w:rFonts w:hint="eastAsia"/>
          <w:b/>
          <w:color w:val="000000"/>
          <w:spacing w:val="0"/>
        </w:rPr>
        <w:t>附則：本行動規範は、令和　７年</w:t>
      </w:r>
      <w:r w:rsidR="00D220B3">
        <w:rPr>
          <w:rFonts w:hint="eastAsia"/>
          <w:b/>
          <w:color w:val="000000"/>
          <w:spacing w:val="0"/>
        </w:rPr>
        <w:t>１０</w:t>
      </w:r>
      <w:r>
        <w:rPr>
          <w:rFonts w:hint="eastAsia"/>
          <w:b/>
          <w:color w:val="000000"/>
          <w:spacing w:val="0"/>
        </w:rPr>
        <w:t>月　１日に改定、公表する。</w:t>
      </w:r>
    </w:p>
    <w:p w14:paraId="6A28956D" w14:textId="77777777" w:rsidR="003F6163" w:rsidRDefault="003F6163" w:rsidP="005D219E">
      <w:pPr>
        <w:pStyle w:val="a3"/>
        <w:spacing w:line="360" w:lineRule="exact"/>
        <w:ind w:left="281" w:hangingChars="100" w:hanging="281"/>
        <w:rPr>
          <w:rFonts w:hint="eastAsia"/>
          <w:b/>
          <w:color w:val="000000"/>
          <w:spacing w:val="0"/>
        </w:rPr>
      </w:pPr>
      <w:r>
        <w:rPr>
          <w:rFonts w:hint="eastAsia"/>
          <w:b/>
          <w:color w:val="000000"/>
          <w:spacing w:val="0"/>
        </w:rPr>
        <w:t xml:space="preserve">　　　</w:t>
      </w:r>
    </w:p>
    <w:p w14:paraId="31F96784" w14:textId="77777777" w:rsidR="005D219E" w:rsidRDefault="005D219E" w:rsidP="005D219E">
      <w:pPr>
        <w:pStyle w:val="a3"/>
        <w:spacing w:line="360" w:lineRule="exact"/>
        <w:jc w:val="right"/>
        <w:rPr>
          <w:b/>
          <w:color w:val="000000"/>
          <w:spacing w:val="0"/>
        </w:rPr>
      </w:pPr>
    </w:p>
    <w:p w14:paraId="48050287" w14:textId="77777777" w:rsidR="00312EF3" w:rsidRDefault="00312EF3">
      <w:pPr>
        <w:rPr>
          <w:color w:val="000000"/>
        </w:rPr>
      </w:pPr>
    </w:p>
    <w:sectPr w:rsidR="00312EF3" w:rsidSect="005D219E">
      <w:pgSz w:w="11906" w:h="16838" w:code="9"/>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A32A" w14:textId="77777777" w:rsidR="001C1083" w:rsidRDefault="001C1083" w:rsidP="003F6163">
      <w:r>
        <w:separator/>
      </w:r>
    </w:p>
  </w:endnote>
  <w:endnote w:type="continuationSeparator" w:id="0">
    <w:p w14:paraId="28B6E5E2" w14:textId="77777777" w:rsidR="001C1083" w:rsidRDefault="001C1083" w:rsidP="003F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7530" w14:textId="77777777" w:rsidR="001C1083" w:rsidRDefault="001C1083" w:rsidP="003F6163">
      <w:r>
        <w:separator/>
      </w:r>
    </w:p>
  </w:footnote>
  <w:footnote w:type="continuationSeparator" w:id="0">
    <w:p w14:paraId="5F42AEB1" w14:textId="77777777" w:rsidR="001C1083" w:rsidRDefault="001C1083" w:rsidP="003F6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9E"/>
    <w:rsid w:val="000A36FD"/>
    <w:rsid w:val="00181AF1"/>
    <w:rsid w:val="001C1083"/>
    <w:rsid w:val="0025322B"/>
    <w:rsid w:val="002A2464"/>
    <w:rsid w:val="00312EF3"/>
    <w:rsid w:val="003F6163"/>
    <w:rsid w:val="00503861"/>
    <w:rsid w:val="005D219E"/>
    <w:rsid w:val="0067183A"/>
    <w:rsid w:val="006E400F"/>
    <w:rsid w:val="00A939E3"/>
    <w:rsid w:val="00AC697E"/>
    <w:rsid w:val="00C069CC"/>
    <w:rsid w:val="00C22396"/>
    <w:rsid w:val="00CB32BF"/>
    <w:rsid w:val="00D220B3"/>
    <w:rsid w:val="00E23972"/>
    <w:rsid w:val="00F1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14F5D"/>
  <w15:chartTrackingRefBased/>
  <w15:docId w15:val="{FD392F82-9D1A-483A-A313-27142314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219E"/>
    <w:pPr>
      <w:widowControl w:val="0"/>
      <w:wordWrap w:val="0"/>
      <w:autoSpaceDE w:val="0"/>
      <w:autoSpaceDN w:val="0"/>
      <w:adjustRightInd w:val="0"/>
      <w:spacing w:line="347" w:lineRule="exact"/>
      <w:jc w:val="both"/>
    </w:pPr>
    <w:rPr>
      <w:rFonts w:eastAsia="ＭＳ ゴシック" w:cs="ＭＳ ゴシック"/>
      <w:spacing w:val="5"/>
      <w:sz w:val="28"/>
      <w:szCs w:val="28"/>
    </w:rPr>
  </w:style>
  <w:style w:type="paragraph" w:styleId="a4">
    <w:name w:val="header"/>
    <w:basedOn w:val="a"/>
    <w:link w:val="a5"/>
    <w:uiPriority w:val="99"/>
    <w:unhideWhenUsed/>
    <w:rsid w:val="003F6163"/>
    <w:pPr>
      <w:tabs>
        <w:tab w:val="center" w:pos="4252"/>
        <w:tab w:val="right" w:pos="8504"/>
      </w:tabs>
      <w:snapToGrid w:val="0"/>
    </w:pPr>
  </w:style>
  <w:style w:type="character" w:customStyle="1" w:styleId="a5">
    <w:name w:val="ヘッダー (文字)"/>
    <w:link w:val="a4"/>
    <w:uiPriority w:val="99"/>
    <w:rsid w:val="003F6163"/>
    <w:rPr>
      <w:kern w:val="2"/>
      <w:sz w:val="21"/>
      <w:szCs w:val="22"/>
    </w:rPr>
  </w:style>
  <w:style w:type="paragraph" w:styleId="a6">
    <w:name w:val="footer"/>
    <w:basedOn w:val="a"/>
    <w:link w:val="a7"/>
    <w:uiPriority w:val="99"/>
    <w:unhideWhenUsed/>
    <w:rsid w:val="003F6163"/>
    <w:pPr>
      <w:tabs>
        <w:tab w:val="center" w:pos="4252"/>
        <w:tab w:val="right" w:pos="8504"/>
      </w:tabs>
      <w:snapToGrid w:val="0"/>
    </w:pPr>
  </w:style>
  <w:style w:type="character" w:customStyle="1" w:styleId="a7">
    <w:name w:val="フッター (文字)"/>
    <w:link w:val="a6"/>
    <w:uiPriority w:val="99"/>
    <w:rsid w:val="003F61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yokoyama</dc:creator>
  <cp:keywords/>
  <dc:description/>
  <cp:lastModifiedBy>前田 熊本県木連</cp:lastModifiedBy>
  <cp:revision>2</cp:revision>
  <cp:lastPrinted>2025-08-20T01:27:00Z</cp:lastPrinted>
  <dcterms:created xsi:type="dcterms:W3CDTF">2025-09-30T01:44:00Z</dcterms:created>
  <dcterms:modified xsi:type="dcterms:W3CDTF">2025-09-30T01:44:00Z</dcterms:modified>
</cp:coreProperties>
</file>